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FORM NO.:    9.2A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REQUISITION FORM</w:t>
      </w:r>
    </w:p>
    <w:p w:rsidR="00000000" w:rsidDel="00000000" w:rsidP="00000000" w:rsidRDefault="00000000" w:rsidRPr="00000000" w14:paraId="00000003">
      <w:pPr>
        <w:keepNext w:val="1"/>
        <w:widowControl w:val="1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(To be used for implementation of planned activities with confirmed funding as per the AWP)</w:t>
      </w:r>
      <w:r w:rsidDel="00000000" w:rsidR="00000000" w:rsidRPr="00000000">
        <w:rPr>
          <w:rtl w:val="0"/>
        </w:rPr>
      </w:r>
    </w:p>
    <w:tbl>
      <w:tblPr>
        <w:tblStyle w:val="Table1"/>
        <w:tblW w:w="974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2912"/>
        <w:gridCol w:w="1560"/>
        <w:gridCol w:w="850"/>
        <w:gridCol w:w="1276"/>
        <w:gridCol w:w="2551"/>
        <w:tblGridChange w:id="0">
          <w:tblGrid>
            <w:gridCol w:w="600"/>
            <w:gridCol w:w="2912"/>
            <w:gridCol w:w="1560"/>
            <w:gridCol w:w="850"/>
            <w:gridCol w:w="1276"/>
            <w:gridCol w:w="2551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Sl#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Description of item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Specification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Qty.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Amount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Purpose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Step-1. Submitted by: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(day-1)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Name:                                                                Signature:                                                         Date: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Step-2. Recommendation from Immediate Supervisor/PM for projects (as relevant/appropriate, including separate approval, if applicable):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(day 1)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Signature : 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Date: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Step-3. Check for availability in stock by the Estate Manager/relevant officer (if available, item(s) issued and the process ends here).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(day-1)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949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Remarks:                                                                                                                                            Signature: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949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Date:  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Step-4. Remarks of the Head of Finance/Confirm fund status: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(day 2)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949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7949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Signature: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920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ab/>
              <w:t xml:space="preserve">Date: 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Step-5. Approval for purchase by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Director, Administration Department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(day-2)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                  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                                    Sign and Seal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                        Date: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Forward to the procurement division.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5840" w:w="12240" w:orient="portrait"/>
      <w:pgMar w:bottom="1170" w:top="81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  <w:t xml:space="preserve">Note: All procurement-related matters should be routed through the procurement division.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